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B2C buyer persona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For help on how to fill this template in, check out our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B2C buyer persona example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﻿Remember: the characteristics are interchangeable. Depending on what’s most relevant for your business, you may want to remove or add additional fields.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5"/>
        <w:gridCol w:w="7335"/>
        <w:tblGridChange w:id="0">
          <w:tblGrid>
            <w:gridCol w:w="2985"/>
            <w:gridCol w:w="73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JOHN DOE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Bio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Personal details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Age: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Job: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Income: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Education: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b w:val="1"/>
                <w:color w:val="2f2e2e"/>
                <w:rtl w:val="0"/>
              </w:rPr>
              <w:t xml:space="preserve">Location:</w:t>
            </w:r>
            <w:r w:rsidDel="00000000" w:rsidR="00000000" w:rsidRPr="00000000">
              <w:rPr>
                <w:color w:val="2f2e2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Interests 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Goals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4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4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Emotional drivers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20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Barriers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Personality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Motivators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Purchase path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Communication preferences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Messaging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i w:val="1"/>
                <w:color w:val="2f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line="276" w:lineRule="auto"/>
        <w:rPr>
          <w:color w:val="2f2e2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B2C buyer persona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CMaD8pTbZSUpiqVLiK276psPmGqRmighb5BN5rMQ7CY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